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50</w:t>
      </w:r>
      <w:r w:rsidR="00B67C93">
        <w:rPr>
          <w:rFonts w:ascii="Arial" w:hAnsi="Arial" w:cs="Arial"/>
          <w:b/>
          <w:sz w:val="24"/>
        </w:rPr>
        <w:t>8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058A7">
        <w:rPr>
          <w:rFonts w:ascii="Arial" w:hAnsi="Arial" w:cs="Arial"/>
          <w:b/>
          <w:sz w:val="24"/>
        </w:rPr>
        <w:t>23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3F5A07">
        <w:rPr>
          <w:rFonts w:ascii="Arial" w:hAnsi="Arial" w:cs="Arial"/>
          <w:b/>
          <w:sz w:val="24"/>
        </w:rPr>
        <w:t>setembro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4217A" w:rsidRDefault="00F4217A" w:rsidP="00F4217A">
      <w:pPr>
        <w:jc w:val="both"/>
        <w:rPr>
          <w:rFonts w:ascii="Arial" w:eastAsia="Arial" w:hAnsi="Arial" w:cs="Arial"/>
          <w:b/>
        </w:rPr>
      </w:pPr>
    </w:p>
    <w:p w:rsidR="001058A7" w:rsidRPr="00346CCE" w:rsidRDefault="001058A7" w:rsidP="001058A7">
      <w:pPr>
        <w:spacing w:before="100" w:beforeAutospacing="1"/>
        <w:ind w:left="3170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Dispõe sobre a Licença para Atividade Política dos Servidores municipais candidatos a mandato eletivo no pleito</w:t>
      </w:r>
      <w:r>
        <w:rPr>
          <w:rFonts w:ascii="Arial" w:hAnsi="Arial" w:cs="Arial"/>
          <w:b/>
          <w:bCs/>
          <w:sz w:val="24"/>
          <w:lang w:eastAsia="pt-BR"/>
        </w:rPr>
        <w:t>.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 </w:t>
      </w:r>
    </w:p>
    <w:p w:rsidR="001058A7" w:rsidRPr="00346CCE" w:rsidRDefault="001058A7" w:rsidP="001058A7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O PREFEITO DO MUNICÍPIO DE SERRINHA, ESTADO DA BAHIA, </w:t>
      </w:r>
      <w:r w:rsidRPr="00346CCE">
        <w:rPr>
          <w:rFonts w:ascii="Arial" w:hAnsi="Arial" w:cs="Arial"/>
          <w:sz w:val="24"/>
          <w:lang w:eastAsia="pt-BR"/>
        </w:rPr>
        <w:t>no uso das atribuições que lhe são conferidas pelo artigo 82, inciso II, da Lei Orgânica do Município.</w:t>
      </w:r>
    </w:p>
    <w:p w:rsidR="001058A7" w:rsidRPr="00346CCE" w:rsidRDefault="001058A7" w:rsidP="001058A7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CONSIDERANDO</w:t>
      </w:r>
      <w:r w:rsidRPr="00346CCE">
        <w:rPr>
          <w:rFonts w:ascii="Arial" w:hAnsi="Arial" w:cs="Arial"/>
          <w:sz w:val="24"/>
          <w:lang w:eastAsia="pt-BR"/>
        </w:rPr>
        <w:t xml:space="preserve"> as disposições constantes da Lei Complementar Federal nº 64, de 18 de maio de 1990, bem como as disposições das Resoluções do Egrégio Tribunal Superior Eleitoral, que tratam as eleições; </w:t>
      </w:r>
    </w:p>
    <w:p w:rsidR="001058A7" w:rsidRPr="00346CCE" w:rsidRDefault="001058A7" w:rsidP="001058A7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CONSIDERANDO, </w:t>
      </w:r>
      <w:r w:rsidRPr="00346CCE">
        <w:rPr>
          <w:rFonts w:ascii="Arial" w:hAnsi="Arial" w:cs="Arial"/>
          <w:sz w:val="24"/>
          <w:lang w:eastAsia="pt-BR"/>
        </w:rPr>
        <w:t>por fim, a necessidade de disciplinar o procedimento para afastamento dos servidores municipais candidatos a mandato eletivo no pleito</w:t>
      </w:r>
      <w:r>
        <w:rPr>
          <w:rFonts w:ascii="Arial" w:hAnsi="Arial" w:cs="Arial"/>
          <w:sz w:val="24"/>
          <w:lang w:eastAsia="pt-BR"/>
        </w:rPr>
        <w:t>,</w:t>
      </w:r>
      <w:r w:rsidRPr="00346CCE">
        <w:rPr>
          <w:rFonts w:ascii="Arial" w:hAnsi="Arial" w:cs="Arial"/>
          <w:sz w:val="24"/>
          <w:lang w:eastAsia="pt-BR"/>
        </w:rPr>
        <w:t xml:space="preserve"> em consonância com o que prevê a 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RESOLUÇÃO Nº 20.623 de 16/05/2000, </w:t>
      </w:r>
      <w:r w:rsidRPr="00346CCE">
        <w:rPr>
          <w:rFonts w:ascii="Arial" w:hAnsi="Arial" w:cs="Arial"/>
          <w:sz w:val="24"/>
          <w:lang w:eastAsia="pt-BR"/>
        </w:rPr>
        <w:t xml:space="preserve">o prazo para desincompatibilização de servidores detentores de cargo efetivo, em regra geral, é de 03 (três) meses, conforme previsto na Resolução do TSE nº 18.019, in </w:t>
      </w:r>
      <w:proofErr w:type="spellStart"/>
      <w:r w:rsidRPr="00346CCE">
        <w:rPr>
          <w:rFonts w:ascii="Arial" w:hAnsi="Arial" w:cs="Arial"/>
          <w:sz w:val="24"/>
          <w:lang w:eastAsia="pt-BR"/>
        </w:rPr>
        <w:t>verbis</w:t>
      </w:r>
      <w:proofErr w:type="spellEnd"/>
      <w:r w:rsidRPr="00346CCE">
        <w:rPr>
          <w:rFonts w:ascii="Arial" w:hAnsi="Arial" w:cs="Arial"/>
          <w:sz w:val="24"/>
          <w:lang w:eastAsia="pt-BR"/>
        </w:rPr>
        <w:t xml:space="preserve">. </w:t>
      </w:r>
    </w:p>
    <w:p w:rsidR="001058A7" w:rsidRPr="00346CCE" w:rsidRDefault="001058A7" w:rsidP="001058A7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RESOLVE: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</w:p>
    <w:p w:rsidR="001058A7" w:rsidRPr="00346CCE" w:rsidRDefault="001058A7" w:rsidP="001058A7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>Art. 1º – Ficará afastad</w:t>
      </w:r>
      <w:r>
        <w:rPr>
          <w:rFonts w:ascii="Arial" w:hAnsi="Arial" w:cs="Arial"/>
          <w:sz w:val="24"/>
          <w:lang w:eastAsia="pt-BR"/>
        </w:rPr>
        <w:t>a das suas atividades funcionais,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  <w:r>
        <w:rPr>
          <w:rFonts w:ascii="Arial" w:hAnsi="Arial" w:cs="Arial"/>
          <w:sz w:val="24"/>
          <w:lang w:eastAsia="pt-BR"/>
        </w:rPr>
        <w:t>a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  <w:r>
        <w:rPr>
          <w:rFonts w:ascii="Arial" w:hAnsi="Arial" w:cs="Arial"/>
          <w:sz w:val="24"/>
          <w:lang w:eastAsia="pt-BR"/>
        </w:rPr>
        <w:t xml:space="preserve">servidora </w:t>
      </w:r>
      <w:r w:rsidR="00B67C93">
        <w:rPr>
          <w:rFonts w:ascii="Arial" w:hAnsi="Arial" w:cs="Arial"/>
          <w:sz w:val="24"/>
          <w:lang w:eastAsia="pt-BR"/>
        </w:rPr>
        <w:t>Emile Aquino Pinheiro</w:t>
      </w:r>
      <w:r>
        <w:rPr>
          <w:rFonts w:ascii="Arial" w:hAnsi="Arial" w:cs="Arial"/>
          <w:sz w:val="24"/>
          <w:lang w:eastAsia="pt-BR"/>
        </w:rPr>
        <w:t>, matrí</w:t>
      </w:r>
      <w:r w:rsidRPr="00346CCE">
        <w:rPr>
          <w:rFonts w:ascii="Arial" w:hAnsi="Arial" w:cs="Arial"/>
          <w:sz w:val="24"/>
          <w:lang w:eastAsia="pt-BR"/>
        </w:rPr>
        <w:t xml:space="preserve">cula nº </w:t>
      </w:r>
      <w:r w:rsidR="00B67C93">
        <w:rPr>
          <w:rFonts w:ascii="Arial" w:hAnsi="Arial" w:cs="Arial"/>
          <w:sz w:val="24"/>
          <w:lang w:eastAsia="pt-BR"/>
        </w:rPr>
        <w:t>8148</w:t>
      </w:r>
      <w:r w:rsidRPr="00346CCE">
        <w:rPr>
          <w:rFonts w:ascii="Arial" w:hAnsi="Arial" w:cs="Arial"/>
          <w:sz w:val="24"/>
          <w:lang w:eastAsia="pt-BR"/>
        </w:rPr>
        <w:t>, admitid</w:t>
      </w:r>
      <w:r>
        <w:rPr>
          <w:rFonts w:ascii="Arial" w:hAnsi="Arial" w:cs="Arial"/>
          <w:sz w:val="24"/>
          <w:lang w:eastAsia="pt-BR"/>
        </w:rPr>
        <w:t>a</w:t>
      </w:r>
      <w:r w:rsidRPr="00346CCE">
        <w:rPr>
          <w:rFonts w:ascii="Arial" w:hAnsi="Arial" w:cs="Arial"/>
          <w:sz w:val="24"/>
          <w:lang w:eastAsia="pt-BR"/>
        </w:rPr>
        <w:t xml:space="preserve"> em </w:t>
      </w:r>
      <w:r w:rsidR="00B67C93">
        <w:rPr>
          <w:rFonts w:ascii="Arial" w:hAnsi="Arial" w:cs="Arial"/>
          <w:sz w:val="24"/>
          <w:lang w:eastAsia="pt-BR"/>
        </w:rPr>
        <w:t>01</w:t>
      </w:r>
      <w:r w:rsidRPr="00346CCE">
        <w:rPr>
          <w:rFonts w:ascii="Arial" w:hAnsi="Arial" w:cs="Arial"/>
          <w:sz w:val="24"/>
          <w:lang w:eastAsia="pt-BR"/>
        </w:rPr>
        <w:t>/0</w:t>
      </w:r>
      <w:r w:rsidR="00B67C93">
        <w:rPr>
          <w:rFonts w:ascii="Arial" w:hAnsi="Arial" w:cs="Arial"/>
          <w:sz w:val="24"/>
          <w:lang w:eastAsia="pt-BR"/>
        </w:rPr>
        <w:t>2</w:t>
      </w:r>
      <w:r w:rsidRPr="00346CCE">
        <w:rPr>
          <w:rFonts w:ascii="Arial" w:hAnsi="Arial" w:cs="Arial"/>
          <w:sz w:val="24"/>
          <w:lang w:eastAsia="pt-BR"/>
        </w:rPr>
        <w:t>/</w:t>
      </w:r>
      <w:r>
        <w:rPr>
          <w:rFonts w:ascii="Arial" w:hAnsi="Arial" w:cs="Arial"/>
          <w:sz w:val="24"/>
          <w:lang w:eastAsia="pt-BR"/>
        </w:rPr>
        <w:t>2007</w:t>
      </w:r>
      <w:r w:rsidRPr="00346CCE">
        <w:rPr>
          <w:rFonts w:ascii="Arial" w:hAnsi="Arial" w:cs="Arial"/>
          <w:sz w:val="24"/>
          <w:lang w:eastAsia="pt-BR"/>
        </w:rPr>
        <w:t xml:space="preserve">, na função de </w:t>
      </w:r>
      <w:r w:rsidR="00B67C93">
        <w:rPr>
          <w:rFonts w:ascii="Arial" w:hAnsi="Arial" w:cs="Arial"/>
          <w:sz w:val="24"/>
          <w:lang w:eastAsia="pt-BR"/>
        </w:rPr>
        <w:t>Enfermeira</w:t>
      </w:r>
      <w:bookmarkStart w:id="0" w:name="_GoBack"/>
      <w:bookmarkEnd w:id="0"/>
      <w:r>
        <w:rPr>
          <w:rFonts w:ascii="Arial" w:hAnsi="Arial" w:cs="Arial"/>
          <w:sz w:val="24"/>
          <w:lang w:eastAsia="pt-BR"/>
        </w:rPr>
        <w:t>, lotada</w:t>
      </w:r>
      <w:r w:rsidRPr="00346CCE">
        <w:rPr>
          <w:rFonts w:ascii="Arial" w:hAnsi="Arial" w:cs="Arial"/>
          <w:sz w:val="24"/>
          <w:lang w:eastAsia="pt-BR"/>
        </w:rPr>
        <w:t xml:space="preserve"> na Secretaria Municipal de </w:t>
      </w:r>
      <w:r>
        <w:rPr>
          <w:rFonts w:ascii="Arial" w:hAnsi="Arial" w:cs="Arial"/>
          <w:sz w:val="24"/>
          <w:lang w:eastAsia="pt-BR"/>
        </w:rPr>
        <w:t>Saúde</w:t>
      </w:r>
      <w:r w:rsidRPr="00346CCE">
        <w:rPr>
          <w:rFonts w:ascii="Arial" w:hAnsi="Arial" w:cs="Arial"/>
          <w:sz w:val="24"/>
          <w:lang w:eastAsia="pt-BR"/>
        </w:rPr>
        <w:t xml:space="preserve">, garantindo </w:t>
      </w:r>
      <w:r>
        <w:rPr>
          <w:rFonts w:ascii="Arial" w:hAnsi="Arial" w:cs="Arial"/>
          <w:sz w:val="24"/>
          <w:lang w:eastAsia="pt-BR"/>
        </w:rPr>
        <w:t>a</w:t>
      </w:r>
      <w:r w:rsidRPr="00346CCE">
        <w:rPr>
          <w:rFonts w:ascii="Arial" w:hAnsi="Arial" w:cs="Arial"/>
          <w:sz w:val="24"/>
          <w:lang w:eastAsia="pt-BR"/>
        </w:rPr>
        <w:t xml:space="preserve"> servidor</w:t>
      </w:r>
      <w:r>
        <w:rPr>
          <w:rFonts w:ascii="Arial" w:hAnsi="Arial" w:cs="Arial"/>
          <w:sz w:val="24"/>
          <w:lang w:eastAsia="pt-BR"/>
        </w:rPr>
        <w:t>a</w:t>
      </w:r>
      <w:r w:rsidRPr="00346CCE">
        <w:rPr>
          <w:rFonts w:ascii="Arial" w:hAnsi="Arial" w:cs="Arial"/>
          <w:sz w:val="24"/>
          <w:lang w:eastAsia="pt-BR"/>
        </w:rPr>
        <w:t xml:space="preserve"> o direito à percepção dos vencimentos integrais durante o período de licença.</w:t>
      </w:r>
    </w:p>
    <w:p w:rsidR="001058A7" w:rsidRPr="00346CCE" w:rsidRDefault="001058A7" w:rsidP="001058A7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2º – </w:t>
      </w:r>
      <w:r>
        <w:rPr>
          <w:rFonts w:ascii="Arial" w:hAnsi="Arial" w:cs="Arial"/>
          <w:sz w:val="24"/>
          <w:lang w:eastAsia="pt-BR"/>
        </w:rPr>
        <w:t>O servidor</w:t>
      </w:r>
      <w:r w:rsidRPr="00346CCE">
        <w:rPr>
          <w:rFonts w:ascii="Arial" w:hAnsi="Arial" w:cs="Arial"/>
          <w:sz w:val="24"/>
          <w:lang w:eastAsia="pt-BR"/>
        </w:rPr>
        <w:t xml:space="preserve"> deverá reassumir o exercício do cargo ou função no primeiro dia útil subsequente, em quaisquer das seguintes hipóteses: </w:t>
      </w:r>
    </w:p>
    <w:p w:rsidR="001058A7" w:rsidRPr="00346CCE" w:rsidRDefault="001058A7" w:rsidP="001058A7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 – ao da realização da Convenção Partidária, caso seu nome não seja referendado como candidato; </w:t>
      </w:r>
    </w:p>
    <w:p w:rsidR="001058A7" w:rsidRPr="00346CCE" w:rsidRDefault="001058A7" w:rsidP="001058A7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 – ao da publicação da decisão transitada em julgado, caso o registro de sua candidatura seja indeferido ou cancelado; </w:t>
      </w:r>
    </w:p>
    <w:p w:rsidR="001058A7" w:rsidRPr="00346CCE" w:rsidRDefault="001058A7" w:rsidP="001058A7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III – ao da data do protocolo do pedido, em caso de desistência da candidatura; </w:t>
      </w:r>
    </w:p>
    <w:p w:rsidR="001058A7" w:rsidRPr="00346CCE" w:rsidRDefault="001058A7" w:rsidP="001058A7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IV – ao da ocorrência de qualquer outro fato que torne injustificada a continuidade do afastamento; </w:t>
      </w:r>
    </w:p>
    <w:p w:rsidR="001058A7" w:rsidRPr="00346CCE" w:rsidRDefault="001058A7" w:rsidP="001058A7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lastRenderedPageBreak/>
        <w:t xml:space="preserve">V – à data da última votação para o cargo a que estiver concorrendo. </w:t>
      </w:r>
    </w:p>
    <w:p w:rsidR="001058A7" w:rsidRPr="00346CCE" w:rsidRDefault="001058A7" w:rsidP="001058A7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3º – A não reassunção do exercício nas hipóteses dos incisos I a IV do art. 2º desta Portaria implicará na conversão dos respectivos dias de ausência em faltas injustificadas, devendo ser devolvidos eventuais valores indevidamente recebidos, conforme o procedimento legal estabelecido. </w:t>
      </w:r>
    </w:p>
    <w:p w:rsidR="001058A7" w:rsidRPr="00346CCE" w:rsidRDefault="001058A7" w:rsidP="001058A7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4º – O servidor efetivo ocupante de cargo em comissão deverá requerer exoneração deste, conforme previsto na legislação em vigor e licenciar-se de seu vínculo efetivo. </w:t>
      </w:r>
    </w:p>
    <w:p w:rsidR="001058A7" w:rsidRPr="00346CCE" w:rsidRDefault="001058A7" w:rsidP="001058A7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5º – Esta Portaria entra em vigor na data de sua publicação, </w:t>
      </w:r>
      <w:r>
        <w:rPr>
          <w:rFonts w:ascii="Arial" w:hAnsi="Arial" w:cs="Arial"/>
          <w:sz w:val="24"/>
          <w:lang w:eastAsia="pt-BR"/>
        </w:rPr>
        <w:t xml:space="preserve">com efeitos retroativos a </w:t>
      </w:r>
      <w:r w:rsidR="00B67C93">
        <w:rPr>
          <w:rFonts w:ascii="Arial" w:hAnsi="Arial" w:cs="Arial"/>
          <w:sz w:val="24"/>
          <w:lang w:eastAsia="pt-BR"/>
        </w:rPr>
        <w:t>14</w:t>
      </w:r>
      <w:r>
        <w:rPr>
          <w:rFonts w:ascii="Arial" w:hAnsi="Arial" w:cs="Arial"/>
          <w:sz w:val="24"/>
          <w:lang w:eastAsia="pt-BR"/>
        </w:rPr>
        <w:t xml:space="preserve"> de julho de 2020, </w:t>
      </w:r>
      <w:r w:rsidRPr="00346CCE">
        <w:rPr>
          <w:rFonts w:ascii="Arial" w:hAnsi="Arial" w:cs="Arial"/>
          <w:sz w:val="24"/>
          <w:lang w:eastAsia="pt-BR"/>
        </w:rPr>
        <w:t xml:space="preserve">revogando-se as disposições em contrário. </w:t>
      </w:r>
    </w:p>
    <w:p w:rsidR="000C2412" w:rsidRDefault="000C2412" w:rsidP="00F4217A">
      <w:pPr>
        <w:jc w:val="both"/>
        <w:rPr>
          <w:rFonts w:ascii="Arial" w:eastAsia="Arial" w:hAnsi="Arial" w:cs="Arial"/>
          <w:b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1058A7">
        <w:rPr>
          <w:rFonts w:ascii="Arial" w:hAnsi="Arial" w:cs="Arial"/>
        </w:rPr>
        <w:t>23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setembro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AE39F8" w:rsidRDefault="00AE39F8" w:rsidP="00F4217A">
      <w:pPr>
        <w:jc w:val="center"/>
        <w:rPr>
          <w:rFonts w:ascii="Arial" w:eastAsia="Arial" w:hAnsi="Arial" w:cs="Arial"/>
          <w:b/>
        </w:rPr>
      </w:pPr>
    </w:p>
    <w:sectPr w:rsidR="00AE39F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0B1" w:rsidRDefault="008E60B1" w:rsidP="0085084D">
      <w:r>
        <w:separator/>
      </w:r>
    </w:p>
  </w:endnote>
  <w:endnote w:type="continuationSeparator" w:id="0">
    <w:p w:rsidR="008E60B1" w:rsidRDefault="008E60B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0B1" w:rsidRDefault="008E60B1" w:rsidP="0085084D">
      <w:r>
        <w:separator/>
      </w:r>
    </w:p>
  </w:footnote>
  <w:footnote w:type="continuationSeparator" w:id="0">
    <w:p w:rsidR="008E60B1" w:rsidRDefault="008E60B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47644E9" wp14:editId="683E768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4BA2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6401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A31CE-69BA-4F3B-B9E6-927A1967E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2020-09-23T16:38:00Z</cp:lastPrinted>
  <dcterms:created xsi:type="dcterms:W3CDTF">2020-09-23T16:39:00Z</dcterms:created>
  <dcterms:modified xsi:type="dcterms:W3CDTF">2020-09-23T16:39:00Z</dcterms:modified>
</cp:coreProperties>
</file>