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0C" w:rsidRPr="00185637" w:rsidRDefault="00C6168B" w:rsidP="00C6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DECRETO Nº 42</w:t>
      </w:r>
      <w:r w:rsidR="0039540C" w:rsidRPr="00185637">
        <w:rPr>
          <w:rFonts w:ascii="Times New Roman" w:hAnsi="Times New Roman" w:cs="Times New Roman"/>
          <w:b/>
          <w:sz w:val="24"/>
          <w:szCs w:val="24"/>
        </w:rPr>
        <w:t>/</w:t>
      </w:r>
      <w:r w:rsidRPr="00185637">
        <w:rPr>
          <w:rFonts w:ascii="Times New Roman" w:hAnsi="Times New Roman" w:cs="Times New Roman"/>
          <w:b/>
          <w:sz w:val="24"/>
          <w:szCs w:val="24"/>
        </w:rPr>
        <w:t>2019 de 05 de</w:t>
      </w:r>
      <w:r w:rsidR="0039540C" w:rsidRPr="00185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713FF" w:rsidRPr="00185637">
        <w:rPr>
          <w:rFonts w:ascii="Times New Roman" w:hAnsi="Times New Roman" w:cs="Times New Roman"/>
          <w:b/>
          <w:sz w:val="24"/>
          <w:szCs w:val="24"/>
        </w:rPr>
        <w:t>Dezembro</w:t>
      </w:r>
      <w:proofErr w:type="gramEnd"/>
      <w:r w:rsidR="002713FF" w:rsidRPr="0018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b/>
          <w:sz w:val="24"/>
          <w:szCs w:val="24"/>
        </w:rPr>
        <w:t>o de 2019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2713FF" w:rsidP="002713FF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“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Dispõe sobre normas relativas ao Encerramento </w:t>
      </w:r>
      <w:r w:rsidR="00C6168B" w:rsidRPr="00185637">
        <w:rPr>
          <w:rFonts w:ascii="Times New Roman" w:hAnsi="Times New Roman" w:cs="Times New Roman"/>
          <w:sz w:val="24"/>
          <w:szCs w:val="24"/>
        </w:rPr>
        <w:t>do Exercício</w:t>
      </w:r>
      <w:r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Financeiro do ano de 2019 e dá outras </w:t>
      </w:r>
      <w:r w:rsidR="00185637" w:rsidRPr="00185637">
        <w:rPr>
          <w:rFonts w:ascii="Times New Roman" w:hAnsi="Times New Roman" w:cs="Times New Roman"/>
          <w:sz w:val="24"/>
          <w:szCs w:val="24"/>
        </w:rPr>
        <w:t>providências. ”</w:t>
      </w:r>
      <w:r w:rsidR="0039540C" w:rsidRPr="00185637">
        <w:rPr>
          <w:rFonts w:ascii="Times New Roman" w:hAnsi="Times New Roman" w:cs="Times New Roman"/>
          <w:sz w:val="24"/>
          <w:szCs w:val="24"/>
        </w:rPr>
        <w:t>.</w:t>
      </w:r>
    </w:p>
    <w:p w:rsidR="00C6168B" w:rsidRPr="00185637" w:rsidRDefault="00C6168B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68B" w:rsidRPr="00185637" w:rsidRDefault="00C6168B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40C" w:rsidRPr="00185637" w:rsidRDefault="002713FF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O</w:t>
      </w:r>
      <w:r w:rsidR="0039540C" w:rsidRPr="00185637">
        <w:rPr>
          <w:rFonts w:ascii="Times New Roman" w:hAnsi="Times New Roman" w:cs="Times New Roman"/>
          <w:b/>
          <w:sz w:val="24"/>
          <w:szCs w:val="24"/>
        </w:rPr>
        <w:t xml:space="preserve"> PREFEITO DO MUNICÍPIO DE SERRINHA, ESTADO DA BAHIA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, no uso de suas atribuições legais que lhe são conferidas na Lei Orgânica do Município, </w:t>
      </w:r>
      <w:r w:rsidR="00185637" w:rsidRPr="00185637">
        <w:rPr>
          <w:rFonts w:ascii="Times New Roman" w:hAnsi="Times New Roman" w:cs="Times New Roman"/>
          <w:sz w:val="24"/>
          <w:szCs w:val="24"/>
        </w:rPr>
        <w:t>e considerando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o disposto nas Leis 4.320/64 e 101/00 (LRF – Lei de Responsabilidade Fiscal), as quais estabelecem normas de Finanças públicas a serem observados por todos os entes públicos da Federação;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Considerando a necessidade de observar as disposições contidas nas Normas Brasileiras de Contabilidade Aplicadas ao Setor Público - NBCASP, editadas pelo Conselho Federal de Contabilidade (CFC), bem como atender as orientações emitidas pela Secretaria do Tesouro Nacional (STN), acerca dos procedimentos contábeis orçamentários e patrimoniais a serem adotados pelas entidades do setor público para fins de consolidação das Contas Nacionais;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Considerando as orientações emitidas pelo Tribunal de Contas dos Municípios do Estado Bahia (TCM-Ba), que tratam sobre o processo de mensuração, registro, evidenciação dos atos e fatos contábeis e respectiva prestação de contas dos recursos públicos;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Considerando a necessidade de padronizar os procedimentos a serem observados por todos os entes integrantes deste Município, para fins de elaboração das demonstrações contábeis consolidadas, pelo Poder Executivo, em conformidade com o disposto no artigo 51 da Lei de Responsabilidade Fiscal.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39540C" w:rsidRPr="00185637" w:rsidRDefault="00C6168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Todos os poderes e órgãos da Administração Direta e Indireta, integrantes do Município, inclusive suas Autarquias e Fundações públicas deverão observar as orientações contidas neste Decreto para nortear o processo de reconhecimento, processamento e evidenciação das informações contábeis sob os aspectos de natureza orçamentária, econômica, financeira e física do patrimônio da entidade do setor público e suas mutações, em apoio ao processo de tomada de decisão, a adequada prestação de contas; e o necessário suporte para a instrumentalização do controle social.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Parágrafo único - Para fins deste Decreto e até a entrega do Balanço e Prestação de Contas, serão consideradas urgentes e prioritárias todas as atividades vinculadas à mensuração, reconhecimento, processamento e evidenciação dos atos e fatos contábeis sob os enfoques orçamentários, patrimonial e de controle.</w:t>
      </w:r>
    </w:p>
    <w:p w:rsidR="002713FF" w:rsidRPr="00185637" w:rsidRDefault="002713FF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lastRenderedPageBreak/>
        <w:t>DA CRIAÇÃO DAS COMISSÕES DE ENCERRAMENTO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Compete aos dirigentes dos órgãos e entidades a que se refere o artigo 1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constituir até o dia </w:t>
      </w:r>
      <w:r w:rsidR="002713FF" w:rsidRPr="00185637">
        <w:rPr>
          <w:rFonts w:ascii="Times New Roman" w:hAnsi="Times New Roman" w:cs="Times New Roman"/>
          <w:sz w:val="24"/>
          <w:szCs w:val="24"/>
        </w:rPr>
        <w:t>07</w:t>
      </w:r>
      <w:r w:rsidRPr="00185637">
        <w:rPr>
          <w:rFonts w:ascii="Times New Roman" w:hAnsi="Times New Roman" w:cs="Times New Roman"/>
          <w:sz w:val="24"/>
          <w:szCs w:val="24"/>
        </w:rPr>
        <w:t xml:space="preserve"> de </w:t>
      </w:r>
      <w:r w:rsidR="002713FF" w:rsidRPr="00185637">
        <w:rPr>
          <w:rFonts w:ascii="Times New Roman" w:hAnsi="Times New Roman" w:cs="Times New Roman"/>
          <w:sz w:val="24"/>
          <w:szCs w:val="24"/>
        </w:rPr>
        <w:t>Dezembro</w:t>
      </w:r>
      <w:r w:rsidRPr="00185637">
        <w:rPr>
          <w:rFonts w:ascii="Times New Roman" w:hAnsi="Times New Roman" w:cs="Times New Roman"/>
          <w:sz w:val="24"/>
          <w:szCs w:val="24"/>
        </w:rPr>
        <w:t xml:space="preserve"> de 2019, as comissões necessárias para promoverem os procedimentos relativos ao levantamento da posição patrimonial do município em 31/12/2019, em consonância com as Resoluções no 1060/05, 1061/05 e 1062/05 do Tribunal de Contas dos Municípios do Estado da Bahia e em conformidade com os Princípios e as Normas Brasileiras de Contabilidade Aplicada ao Setor Público, para tanto, constituindo, no mínimo, as seguintes comissões: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 - Comissão de Levantamento de saldos de Caixa e Equivalentes de Caixa a qual deverá apresentar termo de conferência de caixa e equivalentes de caixa lavrados no último dia do mês de dezembro e demonstrativo das Contas Bancárias;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II - Comissão de apuração dos saldos dos Estoques;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III - Comissão para apuração dos saldos da Dívida Ativa a fim de apurar a relação de valores e títulos da dívida ativa tributária e não tributária, discriminados por contribuinte e corrigidos;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IV - Comissão de Inventário com o objetivo de apresentar relatório contendo todos os bens constantes no ativo imobilizado;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V - Comissão para apuração dos saldos do Ativo e Passivo Circulante, bem como dos saldos do Passivo Não Circulante, inclusive da Dívida Consolidada;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VI - Comissão de apuração dos saldos dos Precatórios junto ao Tribunal de Justiça;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VI - Comissão de apuração do cumprimento dos Limites Legais e Constitucionais.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EXECUÇÃO ORÇAMENTÁRIA E FINANCEIRA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Somente poderão ser emitidos novos empenhos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16 de dezembro</w:t>
      </w:r>
      <w:r w:rsidRPr="00185637">
        <w:rPr>
          <w:rFonts w:ascii="Times New Roman" w:hAnsi="Times New Roman" w:cs="Times New Roman"/>
          <w:sz w:val="24"/>
          <w:szCs w:val="24"/>
        </w:rPr>
        <w:t xml:space="preserve"> do corrente ano, ressalvados os casos excepcionais, devidamente autorizados pelo Chefe do Executivo, e os referentes à: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 – Pessoal e encargos sociais;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II – Encargos e Amortização da dívida pública;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III – Contas de energia, água e telefone;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IV – Contratos de execução continuada e Convênios;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V – Precatórios;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VI – Despesas Obrigatórias relacionadas ao cumprimento dos limites de gastos com Educação e Saúde.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lastRenderedPageBreak/>
        <w:t>Parágrafo único – Para a correta observância do princípio da anualidade do orçamento, somente deverão ser empenhadas no exercício financeiro as parcelas de contratos e convênios com conclusão prevista até 31 de dezembro de 2019.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4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Os saldos de empenhos sem utilização pelo Poder Executivo deverão ter seus valores anulados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07/01/2020</w:t>
      </w:r>
      <w:r w:rsidRPr="00185637">
        <w:rPr>
          <w:rFonts w:ascii="Times New Roman" w:hAnsi="Times New Roman" w:cs="Times New Roman"/>
          <w:sz w:val="24"/>
          <w:szCs w:val="24"/>
        </w:rPr>
        <w:t>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5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As despesas cuja execução orçamentária já foi iniciada poderão ser liquidadas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26 de dezembro de 2019</w:t>
      </w:r>
      <w:r w:rsidRPr="00185637">
        <w:rPr>
          <w:rFonts w:ascii="Times New Roman" w:hAnsi="Times New Roman" w:cs="Times New Roman"/>
          <w:sz w:val="24"/>
          <w:szCs w:val="24"/>
        </w:rPr>
        <w:t>, salvo deliberação do Chefe do Poder Executivo Municipal.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 xml:space="preserve">Parágrafo único - Para atendimento ao disposto no caput deste artigo, os órgãos da administração direta e indireta deverão enviar comunicado aos fornecedores notificando que as notas fiscais de materiais, bens e/ou serviços fornecidos em dezembro devem ser encaminhadas ao setor competente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23 de dezembro de</w:t>
      </w:r>
      <w:r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2019</w:t>
      </w:r>
      <w:r w:rsidRPr="00185637">
        <w:rPr>
          <w:rFonts w:ascii="Times New Roman" w:hAnsi="Times New Roman" w:cs="Times New Roman"/>
          <w:sz w:val="24"/>
          <w:szCs w:val="24"/>
        </w:rPr>
        <w:t>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6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Os pagamentos de despesas poderão ser efetuados até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30 de dezembro de 2019</w:t>
      </w:r>
      <w:r w:rsidRPr="00185637">
        <w:rPr>
          <w:rFonts w:ascii="Times New Roman" w:hAnsi="Times New Roman" w:cs="Times New Roman"/>
          <w:sz w:val="24"/>
          <w:szCs w:val="24"/>
        </w:rPr>
        <w:t>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Os casos excepcionais poderão ser pagos até o último dia útil do exercício de 2019, com a devida e expressa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autorização emitida pelo responsável pela entidade.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2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A Secretaria de Finanças remeterá à Contabilidade até o dia 10 de janeiro de 2020, extratos bancários,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devidamente autenticados pelo Banco e em 02 (duas) vias acompanhadas das respectivas conciliações de todas as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contas bancárias, conforme relação bancária.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3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>- Os responsáveis pela gestão financeira nas entidades públicas deste Município deverão lavrar Termo de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Conferência de Caixa no último dia do mês de dezembro, devidamente assinadas pela comissão designada para tal.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INSCRIÇÃO E CANCELAMENTO DE RESTOS A PAGAR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7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As despesas empenhadas e não liquidadas no corrente exercício, quando representarem despesas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orçamentárias efetivamente incorridas, entretanto, sem ter cumprido a fase de verificação do direito adquirido pelo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credor ou quando o prazo para cumprimento da obrigação assumida pelo credor estiver vigente, serão inscritas em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Restos a Pagar Não Processados, por fonte de recursos, até o limite das disponibilidades financeiras apuradas,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depois de descontado o montante inscrito em Restos a Pagar Processados.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As despesas empenhadas e não liquidadas no exercício de 2019 que não se enquadram na situação prevista no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caput, deverão ter os empenhos anulados.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8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geração das despesas classificadas como “Restos a Pagar”, no âmbito de cada Órgão e Entidade da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Administração Direta e Indireta será de sua inteira responsabilidade e deverá cumprir o disposto neste Decreto,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observando o princípio da competência e a disponibilidade de caixa, na respectiva Fonte de Recurso para seu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atendimento.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lastRenderedPageBreak/>
        <w:t>Art. 9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É vedada a inscrição em Restos a Pagar Não Processados de despesas empenhadas para o atendimento de: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185637">
        <w:rPr>
          <w:rFonts w:ascii="Times New Roman" w:hAnsi="Times New Roman" w:cs="Times New Roman"/>
          <w:sz w:val="24"/>
          <w:szCs w:val="24"/>
        </w:rPr>
        <w:t>adiantamento</w:t>
      </w:r>
      <w:proofErr w:type="gramEnd"/>
      <w:r w:rsidRPr="00185637">
        <w:rPr>
          <w:rFonts w:ascii="Times New Roman" w:hAnsi="Times New Roman" w:cs="Times New Roman"/>
          <w:sz w:val="24"/>
          <w:szCs w:val="24"/>
        </w:rPr>
        <w:t xml:space="preserve"> em geral;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185637">
        <w:rPr>
          <w:rFonts w:ascii="Times New Roman" w:hAnsi="Times New Roman" w:cs="Times New Roman"/>
          <w:sz w:val="24"/>
          <w:szCs w:val="24"/>
        </w:rPr>
        <w:t>diárias</w:t>
      </w:r>
      <w:proofErr w:type="gramEnd"/>
      <w:r w:rsidRPr="00185637">
        <w:rPr>
          <w:rFonts w:ascii="Times New Roman" w:hAnsi="Times New Roman" w:cs="Times New Roman"/>
          <w:sz w:val="24"/>
          <w:szCs w:val="24"/>
        </w:rPr>
        <w:t>;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III – despesas de exercícios anteriores; e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185637">
        <w:rPr>
          <w:rFonts w:ascii="Times New Roman" w:hAnsi="Times New Roman" w:cs="Times New Roman"/>
          <w:sz w:val="24"/>
          <w:szCs w:val="24"/>
        </w:rPr>
        <w:t>despesas</w:t>
      </w:r>
      <w:proofErr w:type="gramEnd"/>
      <w:r w:rsidRPr="00185637">
        <w:rPr>
          <w:rFonts w:ascii="Times New Roman" w:hAnsi="Times New Roman" w:cs="Times New Roman"/>
          <w:sz w:val="24"/>
          <w:szCs w:val="24"/>
        </w:rPr>
        <w:t xml:space="preserve"> de pessoal em geral.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10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Contabilidade cancelará, no dia 31 de dezembro de 2019, todos os Restos a Pagar Não Processados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inscritos em exercícios anteriores, cujas despesas não foram autorizadas ou iniciadas. Este cancelamento se dará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mediante processo administrativo em observância ao disposto na Instrução Cameral editada pelo Tribunal de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Contas do Estado da Bahia de número 001/2016, a qual trata sobre o cancelamento de restos a pagar.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11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As entidades descritas no artigo 1o deverão encaminhar para o Setor de Contabilidade até o dia 10 de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janeiro de 2020, relação dos restos a pagar, discriminando os processados e não processados do exercício, devendo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ser elencados por números de ordem e dos empenhos, a dotação, valor e nome do credor, informando-se o número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 inscrição no CNPJ ou CPF, fazendo-se constar a data do contrato e do empenho e, se processados, a data da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liquidação, indicando-se, ainda, aquelas despesas, liquidadas ou não, que por falta de disponibilidade financeira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deixaram de integrar os restos a pagar do exercício.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DO RECOLHIMENTO DOS VALORES RETIDOS DE TERCEIROS</w:t>
      </w:r>
    </w:p>
    <w:p w:rsidR="00C6168B" w:rsidRPr="00185637" w:rsidRDefault="00C6168B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12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Todas as entidades municipais devem repassar os valores retidos a título de ISS e IRRF para a conta do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tesouro municipal,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30 de dezembro de 2019.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13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Os valores retidos de terceiros a título de consignação (INSS segurados e prestadores de serviços, Planos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 Previdência e Assistência Médica, Entidades de Classe e outros), dos quais o Município seja apenas o fiel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depositário, deverão ter os respectivos recolhimentos realizados aos respectivos beneficiários.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DO RECONHECIMENTO CONTÁBIL DAS CONTRIBUIÇÕES SOCIAIS E DEMAIS OBRIGAÇÕES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14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Todos os valores provenientes de contribuição previdenciária patronal, bem como, contribuição ao PASEP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gerados nas competências mensais de 2019, deverão ser devidamente empenhados, liquidados e quando não pagos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inscritas em restos a pagar processados, salvo se tiverem sido objeto de parcelamento, as quais deverão integrar a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dívida fundada municipal.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lastRenderedPageBreak/>
        <w:t>Art. 15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Em atendimento aos princípios e normas de contabilidade aplicadas ao setor público, todas as obrigações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cujo fato gerador tenha ocorrido devem ser reconhecidas patrimonialmente, independentemente da execução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orçamentária.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Parágrafo único - Na ocorrência de indisponibilidade orçamentária para registro das respectivas obrigações líquidas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e certas e em atendimento as Normas Brasileiras de Contabilidade aplicadas ao Setor Público – NBCASP, tais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obrigações deverão ser registradas independentemente da execução orçamentária em conta do Passivo Circulante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(atributo P).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VERIFICAÇÃO E CONTROLE DO CUMPRIMENTO DO LIMITES LEGAIS E CONSTTUCIONAIS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16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Contabilidade Municipal com o apoio da Controladoria, Secretaria de Fazenda, Administração, Educação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e Saúde deverão realizar controle com vistas a garantir o cumprimento dos seguintes limites legais e constitucionais: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Gastos com Pessoal (54% da RCL);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Gastos com Manutenção e Desenvolvimento do Ensino – MDE – 25%;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Gastos do FUNDEB 60% - pagamentos dos profissionais do magistério;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Gastos do FUNDEB 40% - demais despesas;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Gastos com Ações de Saúde 15%;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Limite para abertura de Créditos Adicionais;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Limite de Repasse do Duodécimo;</w:t>
      </w:r>
    </w:p>
    <w:p w:rsidR="0039540C" w:rsidRPr="00185637" w:rsidRDefault="0039540C" w:rsidP="00C61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Recolhimento de multas e ressarcimentos oriundas de recomendação do TCM/BA.</w:t>
      </w:r>
    </w:p>
    <w:p w:rsidR="00C2310D" w:rsidRPr="00185637" w:rsidRDefault="00C2310D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POSIÇÃO PATRIMONIAL PARA PRESTAÇÃO DE CONTAS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17</w:t>
      </w:r>
      <w:r w:rsidR="00C6168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Os Passivos Circulantes não comprovados deverão ser cancelados mediante processo administrativo cujo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procedimento e indicação deverá constar em decreto publicado para esse fim, bem como deve ser observado o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disposto na Instrução Cameral 001/2016 do TCM-BA.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18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Os saldos do Ativo e Passivo circulante deverão ser levantados através de comissão indicada no art. 2o e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disponibilizados para a o Setor de Contabilidade até 10 de janeiro de 2020.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19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Todo recurso público repassado a título de subvenção social às entidades c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ivis deverá ser prestado contas </w:t>
      </w:r>
      <w:r w:rsidRPr="00185637">
        <w:rPr>
          <w:rFonts w:ascii="Times New Roman" w:hAnsi="Times New Roman" w:cs="Times New Roman"/>
          <w:sz w:val="24"/>
          <w:szCs w:val="24"/>
        </w:rPr>
        <w:t>ao município no prazo máximo de 30 (trinta) dias contados da aplicação de cada parcela recebida ou da totalidade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dos recursos, na hipótese de o repasse ter sido feito em parcela única.</w:t>
      </w:r>
    </w:p>
    <w:p w:rsidR="0039540C" w:rsidRPr="00185637" w:rsidRDefault="00DA325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Caso a aplicação não se dê em sua totalidade dentro do exercício em que os recursos foram liberados, deverão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ser prestadas contas da aplicação parcial desses recursos até o dia 30 de dezembro do corrente ano.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2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entidade civil que, no prazo estabelecido, não prestar contas dos recursos que foram repassados, será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descredenciada para o recebimento de novas subvenções ou auxílios, mediante ato do Executivo Municipal, a ser</w:t>
      </w:r>
      <w:r w:rsidR="00C2310D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encaminhado ao TCM, sem prejuízo de vir este a proceder à </w:t>
      </w:r>
      <w:r w:rsidRPr="00185637">
        <w:rPr>
          <w:rFonts w:ascii="Times New Roman" w:hAnsi="Times New Roman" w:cs="Times New Roman"/>
          <w:sz w:val="24"/>
          <w:szCs w:val="24"/>
        </w:rPr>
        <w:lastRenderedPageBreak/>
        <w:t>respectiva tomada de contas, conforme disposto no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art.8o da Resolução no 1121/05 do Tribunal de Contas dos Municípios.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20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Todas as prestações de contas com a respectiva devolução de saldo, se houver, deverão ser realizadas até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 dia 30 de dezembro de 2019.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21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 inventário dos bens patrimoniais móveis e imóveis e o relatório conclusivo elaborado pela Comissão de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Inventário deverão ser enviados pelas entidades municipais à Contabilidade da Prefeitura,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10 de janeiro</w:t>
      </w:r>
      <w:r w:rsidR="00E70D34" w:rsidRPr="001856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de 2020</w:t>
      </w:r>
      <w:r w:rsidRPr="00185637">
        <w:rPr>
          <w:rFonts w:ascii="Times New Roman" w:hAnsi="Times New Roman" w:cs="Times New Roman"/>
          <w:sz w:val="24"/>
          <w:szCs w:val="24"/>
        </w:rPr>
        <w:t>.</w:t>
      </w:r>
    </w:p>
    <w:p w:rsidR="0039540C" w:rsidRPr="00185637" w:rsidRDefault="00DA325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O inventário será apresentado com os respectivos valores de bens do ativo imobilizado, com a indicação da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sua alocação e números dos respectivos tombamentos, acompanhado por certidão firmada pelo Prefeito, Secretário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de Finanças e pelo Encarregado do Controle do Patrimônio, atestando que todos os bens do município encontram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-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se registrados no livro tombo e submetidos a controle apropriado, estando, ainda, identificados por plaquetas fins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de atendimento à Resolução 1060/05 do Tribunal de Contas dos Municípios.</w:t>
      </w:r>
    </w:p>
    <w:p w:rsidR="0039540C" w:rsidRPr="00185637" w:rsidRDefault="00DA325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2º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A relação de bens móveis e imóveis deverá ser disponibilizada ao Setor de Contabilidade considerando os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bens móveis e imóveis adquiridos ou construídos em 2019, descrição dos bens doados ou recebidos especificando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o nome do doador ou do donatário em conformidade com a legislação vigente.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22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 Setor de almoxarifado em conjunto com a Comissão de Levantamento de Estoques deverá encaminhar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para a Contabilidade até o dia 10 de janeiro de 2020 o relatório de movimentação de material em estoque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relacionados à material de consumo e distribuição gratuita, com os respectivos lançamentos de entrada, referente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às aquisições realizadas, e saída, pelo consumo e perdas.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23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 Livro da Dívida Ativa deverá ser elaborado pela Secretaria Municipal de Finanças e encaminhando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juntamente com o relatório da Comissão de Apuração da Dívida Ativa ao setor de Contabilidade da Prefeitura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Municipal até o dia 10 de janeiro de 2020.</w:t>
      </w:r>
    </w:p>
    <w:p w:rsidR="0039540C" w:rsidRPr="00185637" w:rsidRDefault="00DA325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O Livro da Dívida Ativa deverá conter relação de valores e títulos da dívida ativa tributária e não tributária,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discriminados por contribuinte, corrigidos e contendo a última inscrição efetivada em controle próprio, devendo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ainda, apresentar certidão firmada pelo Prefeito, Secretário Finanças e encarregado responsável pelo setor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atestando estarem os valores devidamente registrados.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2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Secretaria de Finanças deverá encaminhar à Contabilidade, até o dia 09 de março de 2020, demonstrativo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dos resultados alcançados pelas medidas de combate à evasão e à sonegação, da quantidade e valores de ações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ajuizadas para cobrança da dívida ativa, bem como da evolução do montante dos créditos tributários passíveis de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cobrança administrativa com o objetivo de cumprir o que determina o art.13 da Lei Complementar no 101/00.</w:t>
      </w:r>
    </w:p>
    <w:p w:rsidR="0039540C" w:rsidRPr="00185637" w:rsidRDefault="00DA325B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3º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- </w:t>
      </w:r>
      <w:r w:rsidR="00185637" w:rsidRPr="00185637">
        <w:rPr>
          <w:rFonts w:ascii="Times New Roman" w:hAnsi="Times New Roman" w:cs="Times New Roman"/>
          <w:sz w:val="24"/>
          <w:szCs w:val="24"/>
        </w:rPr>
        <w:t>O exposto nos parágrafos anteriores deverá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estar em consonância com as disposições contidas nas</w:t>
      </w:r>
      <w:r w:rsidR="00E70D34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39540C" w:rsidRPr="00185637">
        <w:rPr>
          <w:rFonts w:ascii="Times New Roman" w:hAnsi="Times New Roman" w:cs="Times New Roman"/>
          <w:sz w:val="24"/>
          <w:szCs w:val="24"/>
        </w:rPr>
        <w:t>Resoluções do TCM-BA que dispõe sobre prestação de contas anual das entidades alcançadas por este decreto.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lastRenderedPageBreak/>
        <w:t>Art. 24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As entidades do setor público citadas no artigo 1o deverão solicitar dos credores com os quais mantenham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obrigações parceladas, os respectivos extratos das dívidas contendo informação atualizada quanto ao saldo da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dívida, demonstrando, individualmente, o valor original da dívida, bem como os valores relativos a juros, multa 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atualização monetária com posição de 30 de dezembro de 2019, os quais deverão ser encaminhados até o dia 10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 Janeiro de 2020 para o setor de Contabilidade da Prefeitura.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25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>- A relação dos processos judiciais deverá ser elaborada pela Procuradoria Geral do Município e encaminhada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à Contabilidade, até o dia 10 de janeiro de 2020.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26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Controladoria Municipal deverá encaminhar à Contabilidade até o dia 09 de março de 2020, relatório 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Controle Interno da Prefeitura, dirigido ao gestor, com um resumo das atividades do exercício de 2019, dando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ênfase aos principais resultados, em atendimento ao disposto no item 33 do artigo 9o da Resolução 1060/2005 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TCM/BA.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27 - As Secretarias de Administração, Finanças e Controladoria Municipal deverão organizar esforços para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responder o Questionário relativo ao Índice de Efetividade da Gestão Municipal – IEGM/TCMBA e encaminhar ao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setor de Contabilidade até o dia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>20 de março de 2020</w:t>
      </w:r>
      <w:r w:rsidRPr="00185637">
        <w:rPr>
          <w:rFonts w:ascii="Times New Roman" w:hAnsi="Times New Roman" w:cs="Times New Roman"/>
          <w:sz w:val="24"/>
          <w:szCs w:val="24"/>
        </w:rPr>
        <w:t>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28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Secretaria de Educação deverá encaminhar à Contabilidade até o dia 10 de janeiro de 2020, Parecer 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Conselho do FUNDEB em atendimento ao disposto no art. 31 da Resolução TCM 1276/08.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29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Secretaria de Saúde deverá encaminhar à Contabilidade até o dia 10 de janeiro de 2020, Parecer 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Conselho da Saúde em atendimento ao disposto no art. 13 da Resolução TCM 1277/08.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ELABORAÇÃO, REVISÃO E PUBLICAÇÃO DO RELATÓRIO DE GESTÃO E</w:t>
      </w:r>
      <w:r w:rsidR="002713FF" w:rsidRPr="00185637">
        <w:rPr>
          <w:rFonts w:ascii="Times New Roman" w:hAnsi="Times New Roman" w:cs="Times New Roman"/>
          <w:b/>
          <w:sz w:val="24"/>
          <w:szCs w:val="24"/>
        </w:rPr>
        <w:t xml:space="preserve"> RELATÓRIO RESUMIDO DE EXECUÇÃO </w:t>
      </w:r>
      <w:r w:rsidRPr="00185637">
        <w:rPr>
          <w:rFonts w:ascii="Times New Roman" w:hAnsi="Times New Roman" w:cs="Times New Roman"/>
          <w:b/>
          <w:sz w:val="24"/>
          <w:szCs w:val="24"/>
        </w:rPr>
        <w:t>ORÇAMENTÁRIA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30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Em atendimento ao prazo de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 xml:space="preserve">30 de </w:t>
      </w:r>
      <w:r w:rsidR="00185637" w:rsidRPr="00185637">
        <w:rPr>
          <w:rFonts w:ascii="Times New Roman" w:hAnsi="Times New Roman" w:cs="Times New Roman"/>
          <w:b/>
          <w:i/>
          <w:sz w:val="24"/>
          <w:szCs w:val="24"/>
        </w:rPr>
        <w:t>janeiro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 xml:space="preserve"> de 2020</w:t>
      </w:r>
      <w:r w:rsidRPr="00185637">
        <w:rPr>
          <w:rFonts w:ascii="Times New Roman" w:hAnsi="Times New Roman" w:cs="Times New Roman"/>
          <w:sz w:val="24"/>
          <w:szCs w:val="24"/>
        </w:rPr>
        <w:t xml:space="preserve"> previsto na Constituição Federal (artigo 165, parágrafo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3o.) e na Lei de Responsabilidade Fiscal (artigos 52 e 53) para publicação do 6o. Bimestre do Relatório Resumido e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Execução Orçamentária e do 3o. Quadrimestre do Relatório de Gestão Fiscal, o encerramento do fechamento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contábil da competência de </w:t>
      </w:r>
      <w:r w:rsidR="00185637" w:rsidRPr="00185637">
        <w:rPr>
          <w:rFonts w:ascii="Times New Roman" w:hAnsi="Times New Roman" w:cs="Times New Roman"/>
          <w:sz w:val="24"/>
          <w:szCs w:val="24"/>
        </w:rPr>
        <w:t>dezembro</w:t>
      </w:r>
      <w:r w:rsidRPr="00185637">
        <w:rPr>
          <w:rFonts w:ascii="Times New Roman" w:hAnsi="Times New Roman" w:cs="Times New Roman"/>
          <w:sz w:val="24"/>
          <w:szCs w:val="24"/>
        </w:rPr>
        <w:t>, bem como do encerramento das contas anuais, deverão ocorrer até o dia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 xml:space="preserve">25 de </w:t>
      </w:r>
      <w:bookmarkStart w:id="0" w:name="_GoBack"/>
      <w:bookmarkEnd w:id="0"/>
      <w:r w:rsidR="00185637" w:rsidRPr="00185637">
        <w:rPr>
          <w:rFonts w:ascii="Times New Roman" w:hAnsi="Times New Roman" w:cs="Times New Roman"/>
          <w:b/>
          <w:i/>
          <w:sz w:val="24"/>
          <w:szCs w:val="24"/>
        </w:rPr>
        <w:t>janeiro</w:t>
      </w:r>
      <w:r w:rsidRPr="00185637">
        <w:rPr>
          <w:rFonts w:ascii="Times New Roman" w:hAnsi="Times New Roman" w:cs="Times New Roman"/>
          <w:b/>
          <w:i/>
          <w:sz w:val="24"/>
          <w:szCs w:val="24"/>
        </w:rPr>
        <w:t xml:space="preserve"> de 2020</w:t>
      </w:r>
      <w:r w:rsidRPr="00185637">
        <w:rPr>
          <w:rFonts w:ascii="Times New Roman" w:hAnsi="Times New Roman" w:cs="Times New Roman"/>
          <w:sz w:val="24"/>
          <w:szCs w:val="24"/>
        </w:rPr>
        <w:t>, para que haja tempo hábil e elaborar, conferir e publicar os respectivos relatórios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tempestivamente.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1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Ressalta-se que a não divulgação do Relatório, nos prazos e condições estabelecidos em lei, constitui infração,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punida com multa de trinta por cento dos vencimentos anuais do agente que lhe der causa, sendo o pagamento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da multa de sua responsabilidade pessoal.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§ 2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Para que a contabilidade tenha tempo hábil de atender o prazo previsto para conclusão do fechamento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contábil até 25/01/2020, será de responsabilidade dos órgãos envolvidos e respectivas comissões, a entrega das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 xml:space="preserve">informações de prestação de contas nos prazos </w:t>
      </w:r>
      <w:r w:rsidRPr="00185637">
        <w:rPr>
          <w:rFonts w:ascii="Times New Roman" w:hAnsi="Times New Roman" w:cs="Times New Roman"/>
          <w:sz w:val="24"/>
          <w:szCs w:val="24"/>
        </w:rPr>
        <w:lastRenderedPageBreak/>
        <w:t>estabelecidos neste Decreto, sob pena de assunção da multa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prevista em Lei pela não publicação dos relatórios tratados neste artigo.</w:t>
      </w:r>
    </w:p>
    <w:p w:rsidR="0093340F" w:rsidRPr="00185637" w:rsidRDefault="0093340F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DA ELABORAÇÃO DAS DEMONSTRAÇÕES CONTÁBEIS E DEMAIS ITENS DA PRESTAÇÃO DE CONTAS ANUAIS</w:t>
      </w:r>
    </w:p>
    <w:p w:rsidR="0093340F" w:rsidRPr="00185637" w:rsidRDefault="0093340F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31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 prestação de Contas Anuais deve guardar observância com as disposições contidas nas Resoluções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contidas nas Resoluções 1060/05, 1061/05 e 1062/05 do TCM-BA, no Manual de Contabilidade de Contabilidade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Aplicado ao Setor – MCASP e Instruções de Pronunciamentos técnicos – IPC emitidos pela STN, bem como em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relação aos demais normativos legais que tratam sobre contabilidade e finanças públicas.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Parágrafo único - Todas as demonstrações contábeis obrigatórias devem conter nota explicativa em atendimento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as normas brasileiras de contabilidade aplicadas ao setor público.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32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No processo de elaboração da prestação de contas anual devem ser observadas as recomendações, se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houver, do Tribunal de Contas dos Municípios do Estado da Bahia emitidas no Parecer final de avaliação da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prestação de contas do último analisado.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637">
        <w:rPr>
          <w:rFonts w:ascii="Times New Roman" w:hAnsi="Times New Roman" w:cs="Times New Roman"/>
          <w:b/>
          <w:sz w:val="24"/>
          <w:szCs w:val="24"/>
        </w:rPr>
        <w:t>DISPOSIÇÕES FINAIS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33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As disposições contidas neste Decreto aplicam-se, no que couber, a todas as entidades integrantes do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município, em conformidade com o disposto no artigo 1o.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34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Para fins de cumprimento do Inciso III Artigo 50 da Lei 101/2000 os órgãos da administração direta 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indireta, deverão encaminhar à Contabilidade a prestação de contas do mês de dezembro, além da documentação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referente à prestação de contas anual em consonância com as orientações do TCM-BA, nos prazos definidos neste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Decreto, sob pena das sanções previstas na Legislação.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35</w:t>
      </w:r>
      <w:r w:rsidR="00DA325B" w:rsidRPr="00185637">
        <w:rPr>
          <w:rFonts w:ascii="Times New Roman" w:hAnsi="Times New Roman" w:cs="Times New Roman"/>
          <w:sz w:val="24"/>
          <w:szCs w:val="24"/>
        </w:rPr>
        <w:t>º</w:t>
      </w:r>
      <w:r w:rsidRPr="00185637">
        <w:rPr>
          <w:rFonts w:ascii="Times New Roman" w:hAnsi="Times New Roman" w:cs="Times New Roman"/>
          <w:sz w:val="24"/>
          <w:szCs w:val="24"/>
        </w:rPr>
        <w:t xml:space="preserve"> - O não cumprimento das disposições contidas neste Decreto implicará em responsabilidade funcional e</w:t>
      </w:r>
      <w:r w:rsidR="002713FF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Pr="00185637">
        <w:rPr>
          <w:rFonts w:ascii="Times New Roman" w:hAnsi="Times New Roman" w:cs="Times New Roman"/>
          <w:sz w:val="24"/>
          <w:szCs w:val="24"/>
        </w:rPr>
        <w:t>pessoal do servidor.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Art. 36</w:t>
      </w:r>
      <w:r w:rsidR="00DA325B" w:rsidRPr="00185637">
        <w:rPr>
          <w:rFonts w:ascii="Times New Roman" w:hAnsi="Times New Roman" w:cs="Times New Roman"/>
          <w:sz w:val="24"/>
          <w:szCs w:val="24"/>
        </w:rPr>
        <w:t xml:space="preserve"> º</w:t>
      </w:r>
      <w:r w:rsidRPr="00185637">
        <w:rPr>
          <w:rFonts w:ascii="Times New Roman" w:hAnsi="Times New Roman" w:cs="Times New Roman"/>
          <w:sz w:val="24"/>
          <w:szCs w:val="24"/>
        </w:rPr>
        <w:t>- Este Decreto entrará em vigor na datada sua publicação, revogadas as disposições em contrário.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2713FF" w:rsidP="0039540C">
      <w:pPr>
        <w:jc w:val="both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Gabinete do Prefeito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, </w:t>
      </w:r>
      <w:r w:rsidRPr="00185637">
        <w:rPr>
          <w:rFonts w:ascii="Times New Roman" w:hAnsi="Times New Roman" w:cs="Times New Roman"/>
          <w:sz w:val="24"/>
          <w:szCs w:val="24"/>
        </w:rPr>
        <w:t>05 de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</w:t>
      </w:r>
      <w:r w:rsidR="00185637" w:rsidRPr="00185637">
        <w:rPr>
          <w:rFonts w:ascii="Times New Roman" w:hAnsi="Times New Roman" w:cs="Times New Roman"/>
          <w:sz w:val="24"/>
          <w:szCs w:val="24"/>
        </w:rPr>
        <w:t>dezembro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9540C" w:rsidRPr="00185637" w:rsidRDefault="0039540C" w:rsidP="00395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40C" w:rsidRPr="00185637" w:rsidRDefault="002713FF" w:rsidP="00185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Adriano Silva Lima</w:t>
      </w:r>
    </w:p>
    <w:p w:rsidR="00CD7220" w:rsidRPr="00185637" w:rsidRDefault="002713FF" w:rsidP="00185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37">
        <w:rPr>
          <w:rFonts w:ascii="Times New Roman" w:hAnsi="Times New Roman" w:cs="Times New Roman"/>
          <w:sz w:val="24"/>
          <w:szCs w:val="24"/>
        </w:rPr>
        <w:t>Prefeito</w:t>
      </w:r>
      <w:r w:rsidR="0039540C" w:rsidRPr="00185637">
        <w:rPr>
          <w:rFonts w:ascii="Times New Roman" w:hAnsi="Times New Roman" w:cs="Times New Roman"/>
          <w:sz w:val="24"/>
          <w:szCs w:val="24"/>
        </w:rPr>
        <w:t xml:space="preserve"> Municipal</w:t>
      </w:r>
    </w:p>
    <w:sectPr w:rsidR="00CD7220" w:rsidRPr="00185637" w:rsidSect="00414499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E5" w:rsidRDefault="008229E5" w:rsidP="0039540C">
      <w:pPr>
        <w:spacing w:after="0" w:line="240" w:lineRule="auto"/>
      </w:pPr>
      <w:r>
        <w:separator/>
      </w:r>
    </w:p>
  </w:endnote>
  <w:endnote w:type="continuationSeparator" w:id="0">
    <w:p w:rsidR="008229E5" w:rsidRDefault="008229E5" w:rsidP="003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E5" w:rsidRDefault="008229E5" w:rsidP="0039540C">
      <w:pPr>
        <w:spacing w:after="0" w:line="240" w:lineRule="auto"/>
      </w:pPr>
      <w:r>
        <w:separator/>
      </w:r>
    </w:p>
  </w:footnote>
  <w:footnote w:type="continuationSeparator" w:id="0">
    <w:p w:rsidR="008229E5" w:rsidRDefault="008229E5" w:rsidP="003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40F" w:rsidRDefault="00185637" w:rsidP="00185637">
    <w:pPr>
      <w:pStyle w:val="Cabealho"/>
      <w:jc w:val="center"/>
    </w:pPr>
    <w:r w:rsidRPr="007C7882">
      <w:rPr>
        <w:noProof/>
        <w:lang w:eastAsia="pt-BR"/>
      </w:rPr>
      <w:drawing>
        <wp:inline distT="0" distB="0" distL="0" distR="0" wp14:anchorId="655A5E02" wp14:editId="56D55209">
          <wp:extent cx="2571750" cy="933450"/>
          <wp:effectExtent l="0" t="0" r="0" b="0"/>
          <wp:docPr id="1" name="Imagem 1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em título qq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40F" w:rsidRDefault="009334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C3D"/>
    <w:multiLevelType w:val="hybridMultilevel"/>
    <w:tmpl w:val="C8BC83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0C"/>
    <w:rsid w:val="00185637"/>
    <w:rsid w:val="002713FF"/>
    <w:rsid w:val="002F63CF"/>
    <w:rsid w:val="0039540C"/>
    <w:rsid w:val="00414499"/>
    <w:rsid w:val="008229E5"/>
    <w:rsid w:val="0093340F"/>
    <w:rsid w:val="00A1042D"/>
    <w:rsid w:val="00C2310D"/>
    <w:rsid w:val="00C6168B"/>
    <w:rsid w:val="00CD7220"/>
    <w:rsid w:val="00DA325B"/>
    <w:rsid w:val="00E7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11A53-B4EA-4281-838F-293162E9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5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540C"/>
  </w:style>
  <w:style w:type="paragraph" w:styleId="Rodap">
    <w:name w:val="footer"/>
    <w:basedOn w:val="Normal"/>
    <w:link w:val="RodapChar"/>
    <w:uiPriority w:val="99"/>
    <w:unhideWhenUsed/>
    <w:rsid w:val="00395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40C"/>
  </w:style>
  <w:style w:type="paragraph" w:styleId="PargrafodaLista">
    <w:name w:val="List Paragraph"/>
    <w:basedOn w:val="Normal"/>
    <w:uiPriority w:val="34"/>
    <w:qFormat/>
    <w:rsid w:val="00C6168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3082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Pessoa de Oliveira</dc:creator>
  <cp:keywords/>
  <dc:description/>
  <cp:lastModifiedBy>..</cp:lastModifiedBy>
  <cp:revision>2</cp:revision>
  <cp:lastPrinted>2019-12-06T14:41:00Z</cp:lastPrinted>
  <dcterms:created xsi:type="dcterms:W3CDTF">2019-12-06T14:42:00Z</dcterms:created>
  <dcterms:modified xsi:type="dcterms:W3CDTF">2019-12-06T14:42:00Z</dcterms:modified>
</cp:coreProperties>
</file>